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D6" w:rsidRDefault="00CF7FD6" w:rsidP="00387E2A">
      <w:bookmarkStart w:id="0" w:name="_GoBack"/>
      <w:bookmarkEnd w:id="0"/>
      <w:r>
        <w:t xml:space="preserve">Department of Philosophy and Religious Studies </w:t>
      </w:r>
      <w:r w:rsidR="00B55E2B">
        <w:t>–</w:t>
      </w:r>
      <w:r>
        <w:t xml:space="preserve"> </w:t>
      </w:r>
      <w:r w:rsidR="00B55E2B">
        <w:t xml:space="preserve">Guidelines </w:t>
      </w:r>
      <w:r w:rsidR="00E60994">
        <w:t>on Breadth and Depth of A</w:t>
      </w:r>
      <w:r w:rsidR="00B55E2B">
        <w:t>ccomplishments in Teaching, Scholarship, and Service.</w:t>
      </w:r>
      <w:r w:rsidR="009A0D3B">
        <w:t xml:space="preserve"> </w:t>
      </w:r>
    </w:p>
    <w:p w:rsidR="00CF7FD6" w:rsidRDefault="00CF7FD6" w:rsidP="00387E2A"/>
    <w:p w:rsidR="00387E2A" w:rsidRDefault="00387E2A" w:rsidP="00387E2A">
      <w:r>
        <w:tab/>
        <w:t xml:space="preserve">Tenure and Promotion to Associate Professor: </w:t>
      </w:r>
    </w:p>
    <w:p w:rsidR="00387E2A" w:rsidRDefault="00387E2A" w:rsidP="00387E2A"/>
    <w:p w:rsidR="00387E2A" w:rsidRDefault="00197AF9" w:rsidP="00197AF9">
      <w:pPr>
        <w:pStyle w:val="Default"/>
      </w:pPr>
      <w:r>
        <w:t>1)</w:t>
      </w:r>
      <w:r>
        <w:tab/>
        <w:t>This is the Department of Philosophy and Religious Stud</w:t>
      </w:r>
      <w:r w:rsidR="000A52FE">
        <w:t xml:space="preserve">ies </w:t>
      </w:r>
      <w:r w:rsidR="006414DC">
        <w:t>guidelines on</w:t>
      </w:r>
      <w:r w:rsidR="00205EB4">
        <w:t xml:space="preserve"> excellence </w:t>
      </w:r>
      <w:r>
        <w:t>in teaching, scholarship, and service f</w:t>
      </w:r>
      <w:r w:rsidR="00205EB4">
        <w:t>or tenure and promotion as covered</w:t>
      </w:r>
      <w:r>
        <w:t xml:space="preserve"> in the </w:t>
      </w:r>
      <w:r w:rsidR="00387E2A" w:rsidRPr="007B1684">
        <w:rPr>
          <w:u w:val="single"/>
        </w:rPr>
        <w:t>Collective Bargaining Agreement</w:t>
      </w:r>
    </w:p>
    <w:p w:rsidR="00B55E2B" w:rsidRDefault="00B55E2B" w:rsidP="00387E2A">
      <w:pPr>
        <w:pStyle w:val="Default"/>
        <w:jc w:val="both"/>
      </w:pPr>
    </w:p>
    <w:p w:rsidR="00387E2A" w:rsidRDefault="00387E2A" w:rsidP="00387E2A">
      <w:pPr>
        <w:pStyle w:val="Default"/>
        <w:jc w:val="both"/>
      </w:pPr>
      <w:r>
        <w:t xml:space="preserve">The members of the Department of Philosophy and </w:t>
      </w:r>
      <w:r w:rsidR="00197AF9">
        <w:t xml:space="preserve">Religious Studies find that sensitivity to quality and quantity, as well as </w:t>
      </w:r>
      <w:r w:rsidR="003A2BE7">
        <w:t xml:space="preserve">to the </w:t>
      </w:r>
      <w:r w:rsidR="00197AF9">
        <w:t>distinct contributions of an individual faculty member</w:t>
      </w:r>
      <w:r w:rsidR="00205EB4">
        <w:t xml:space="preserve"> due to specialties</w:t>
      </w:r>
      <w:r w:rsidR="000A52FE">
        <w:t xml:space="preserve"> and discipline</w:t>
      </w:r>
      <w:r w:rsidR="00205EB4">
        <w:t xml:space="preserve">s, </w:t>
      </w:r>
      <w:r w:rsidR="00197AF9">
        <w:t xml:space="preserve">are </w:t>
      </w:r>
      <w:r>
        <w:t xml:space="preserve">especially pertinent given the nature of </w:t>
      </w:r>
      <w:r w:rsidR="003A2BE7">
        <w:t>the</w:t>
      </w:r>
      <w:r>
        <w:t xml:space="preserve"> department. This department contains professionals from distinct disciplines as well as who have methods and interests ranging from more traditional theoretical scholarship through empirical investigators to clinical practitioners.</w:t>
      </w:r>
    </w:p>
    <w:p w:rsidR="00387E2A" w:rsidRDefault="00387E2A" w:rsidP="00387E2A">
      <w:pPr>
        <w:pStyle w:val="Default"/>
      </w:pPr>
    </w:p>
    <w:p w:rsidR="00387E2A" w:rsidRDefault="00387E2A" w:rsidP="00387E2A">
      <w:pPr>
        <w:pStyle w:val="Default"/>
      </w:pPr>
      <w:r>
        <w:tab/>
      </w:r>
    </w:p>
    <w:p w:rsidR="00387E2A" w:rsidRDefault="00387E2A" w:rsidP="00387E2A">
      <w:pPr>
        <w:pStyle w:val="Default"/>
      </w:pPr>
      <w:r>
        <w:t>2)</w:t>
      </w:r>
      <w:r>
        <w:tab/>
      </w:r>
      <w:r w:rsidRPr="00E60994">
        <w:rPr>
          <w:b/>
        </w:rPr>
        <w:t>Teaching</w:t>
      </w:r>
    </w:p>
    <w:p w:rsidR="003A2BE7" w:rsidRDefault="00197AF9" w:rsidP="00387E2A">
      <w:pPr>
        <w:pStyle w:val="Default"/>
      </w:pPr>
      <w:r>
        <w:tab/>
      </w:r>
      <w:r w:rsidR="003A2BE7">
        <w:t xml:space="preserve">a) </w:t>
      </w:r>
      <w:r w:rsidR="00D80400">
        <w:t>Excellence i</w:t>
      </w:r>
      <w:r w:rsidR="00CF7FD6">
        <w:t xml:space="preserve">n teaching will be </w:t>
      </w:r>
      <w:r w:rsidR="00E60994">
        <w:t xml:space="preserve">judged on the basis of </w:t>
      </w:r>
      <w:r w:rsidR="00810FD5">
        <w:t>the candidate’s</w:t>
      </w:r>
      <w:r w:rsidR="00CF7FD6">
        <w:t xml:space="preserve"> record,</w:t>
      </w:r>
      <w:r w:rsidR="00810FD5">
        <w:t xml:space="preserve"> narrative</w:t>
      </w:r>
      <w:r w:rsidR="001206EE">
        <w:t>,</w:t>
      </w:r>
      <w:r w:rsidR="00810FD5">
        <w:t xml:space="preserve"> and evidence </w:t>
      </w:r>
      <w:r w:rsidR="00DB40FC">
        <w:t>of quality</w:t>
      </w:r>
      <w:r w:rsidR="002B2B31">
        <w:t xml:space="preserve"> </w:t>
      </w:r>
      <w:r w:rsidR="001206EE">
        <w:t xml:space="preserve">instruction </w:t>
      </w:r>
      <w:r w:rsidR="002B2B31">
        <w:t>from items</w:t>
      </w:r>
      <w:r w:rsidR="00DB40FC">
        <w:t xml:space="preserve"> </w:t>
      </w:r>
      <w:r w:rsidR="00810FD5">
        <w:t xml:space="preserve">suggested below. </w:t>
      </w:r>
      <w:r w:rsidR="00387E2A" w:rsidRPr="00012A66">
        <w:t>Basic activities such as maintenance of regularly scheduled of</w:t>
      </w:r>
      <w:r w:rsidR="00387E2A">
        <w:t xml:space="preserve">fice hours and </w:t>
      </w:r>
      <w:r w:rsidR="00387E2A" w:rsidRPr="00012A66">
        <w:t>availability for student conferences by a</w:t>
      </w:r>
      <w:r w:rsidR="009A0D3B">
        <w:t>ppointment are expected</w:t>
      </w:r>
      <w:r w:rsidR="00387E2A">
        <w:t>.</w:t>
      </w:r>
      <w:r w:rsidR="00387E2A" w:rsidRPr="00012A66">
        <w:t xml:space="preserve"> </w:t>
      </w:r>
      <w:r w:rsidR="00387E2A">
        <w:t xml:space="preserve">Evidence used </w:t>
      </w:r>
      <w:r w:rsidR="00CF7FD6">
        <w:t>to su</w:t>
      </w:r>
      <w:r w:rsidR="002B2B31">
        <w:t xml:space="preserve">pport the evaluation of </w:t>
      </w:r>
      <w:r w:rsidR="00CF7FD6">
        <w:t xml:space="preserve">the breadth and depth of the candidate’s </w:t>
      </w:r>
      <w:r w:rsidR="00387E2A">
        <w:t>teaching may include but is not limited to the following items</w:t>
      </w:r>
      <w:r w:rsidR="000A52FE">
        <w:t xml:space="preserve"> in 1 through 14</w:t>
      </w:r>
      <w:r w:rsidR="00387E2A">
        <w:t>:</w:t>
      </w:r>
    </w:p>
    <w:p w:rsidR="00387E2A" w:rsidRPr="00012A66" w:rsidRDefault="00387E2A" w:rsidP="00810FD5">
      <w:pPr>
        <w:pStyle w:val="Default"/>
        <w:ind w:left="720" w:firstLine="720"/>
      </w:pPr>
      <w:r>
        <w:t xml:space="preserve">(1) </w:t>
      </w:r>
      <w:r>
        <w:tab/>
        <w:t>Demonstrated continued excellence in teaching courses in area of expertise through documentation of student learning.</w:t>
      </w:r>
    </w:p>
    <w:p w:rsidR="00387E2A" w:rsidRDefault="00387E2A" w:rsidP="00810FD5">
      <w:pPr>
        <w:pStyle w:val="Default"/>
        <w:ind w:left="720" w:firstLine="720"/>
      </w:pPr>
      <w:r>
        <w:t>(2)</w:t>
      </w:r>
      <w:r>
        <w:tab/>
        <w:t>Courses that have been innovative, creative, and/or showed an original approach to teaching, and/or incorporated instructional technology, collaborative learning, or other non-traditional teaching methods, when such pedagogy evince the meeting of student objectives</w:t>
      </w:r>
    </w:p>
    <w:p w:rsidR="00387E2A" w:rsidRDefault="00387E2A" w:rsidP="00387E2A">
      <w:pPr>
        <w:pStyle w:val="Default"/>
      </w:pPr>
      <w:r>
        <w:tab/>
      </w:r>
      <w:r>
        <w:tab/>
        <w:t>(3)</w:t>
      </w:r>
      <w:r>
        <w:tab/>
        <w:t>Program and/or curriculum development</w:t>
      </w:r>
    </w:p>
    <w:p w:rsidR="00387E2A" w:rsidRDefault="00387E2A" w:rsidP="00387E2A">
      <w:pPr>
        <w:pStyle w:val="Default"/>
        <w:ind w:left="1440" w:hanging="1440"/>
      </w:pPr>
      <w:r>
        <w:tab/>
        <w:t>(4)</w:t>
      </w:r>
      <w:r>
        <w:tab/>
        <w:t>Creation of new courses,</w:t>
      </w:r>
      <w:r w:rsidRPr="00D11A24">
        <w:t xml:space="preserve"> </w:t>
      </w:r>
      <w:r>
        <w:t xml:space="preserve">when such courses evince the meeting of </w:t>
      </w:r>
    </w:p>
    <w:p w:rsidR="00387E2A" w:rsidRDefault="00387E2A" w:rsidP="00810FD5">
      <w:pPr>
        <w:pStyle w:val="Default"/>
        <w:ind w:left="1440" w:hanging="720"/>
      </w:pPr>
      <w:r>
        <w:t xml:space="preserve">student </w:t>
      </w:r>
      <w:r w:rsidR="001206EE">
        <w:t xml:space="preserve">educational </w:t>
      </w:r>
      <w:r>
        <w:t>objectives</w:t>
      </w:r>
    </w:p>
    <w:p w:rsidR="00387E2A" w:rsidRDefault="00387E2A" w:rsidP="00810FD5">
      <w:pPr>
        <w:pStyle w:val="Default"/>
        <w:ind w:left="720" w:firstLine="720"/>
      </w:pPr>
      <w:r>
        <w:t>(5)</w:t>
      </w:r>
      <w:r>
        <w:tab/>
        <w:t xml:space="preserve">Substantive revision of existing courses, and an assessment of the student </w:t>
      </w:r>
      <w:r w:rsidR="00810FD5">
        <w:t>outcomes for</w:t>
      </w:r>
      <w:r>
        <w:t xml:space="preserve"> such changes.</w:t>
      </w:r>
    </w:p>
    <w:p w:rsidR="00387E2A" w:rsidRDefault="00387E2A" w:rsidP="00810FD5">
      <w:pPr>
        <w:pStyle w:val="Default"/>
        <w:ind w:left="720" w:firstLine="720"/>
      </w:pPr>
      <w:r>
        <w:t>(6)</w:t>
      </w:r>
      <w:r>
        <w:tab/>
        <w:t>Participation in conferences and workshops on teaching or other forms of professional development, where such attendance will impact the meeting of student objectives</w:t>
      </w:r>
    </w:p>
    <w:p w:rsidR="00387E2A" w:rsidRDefault="00387E2A" w:rsidP="00387E2A">
      <w:pPr>
        <w:pStyle w:val="Default"/>
      </w:pPr>
      <w:r>
        <w:tab/>
      </w:r>
      <w:r>
        <w:tab/>
        <w:t xml:space="preserve">(7) </w:t>
      </w:r>
      <w:r>
        <w:tab/>
        <w:t>Evaluations by chair(s)</w:t>
      </w:r>
    </w:p>
    <w:p w:rsidR="00387E2A" w:rsidRDefault="00387E2A" w:rsidP="00387E2A">
      <w:pPr>
        <w:pStyle w:val="Default"/>
      </w:pPr>
      <w:r>
        <w:tab/>
      </w:r>
      <w:r>
        <w:tab/>
        <w:t>(8)</w:t>
      </w:r>
      <w:r>
        <w:tab/>
        <w:t>Evaluations by peers</w:t>
      </w:r>
    </w:p>
    <w:p w:rsidR="00387E2A" w:rsidRDefault="00387E2A" w:rsidP="00387E2A">
      <w:pPr>
        <w:pStyle w:val="Default"/>
      </w:pPr>
      <w:r>
        <w:tab/>
      </w:r>
      <w:r>
        <w:tab/>
        <w:t>(9)</w:t>
      </w:r>
      <w:r>
        <w:tab/>
        <w:t>Evaluations by students (ISQs and other if available)</w:t>
      </w:r>
      <w:r>
        <w:tab/>
      </w:r>
      <w:r>
        <w:tab/>
      </w:r>
    </w:p>
    <w:p w:rsidR="00387E2A" w:rsidRDefault="00387E2A" w:rsidP="00810FD5">
      <w:pPr>
        <w:pStyle w:val="Default"/>
        <w:ind w:left="720" w:hanging="720"/>
      </w:pPr>
      <w:r>
        <w:tab/>
      </w:r>
      <w:r>
        <w:tab/>
        <w:t xml:space="preserve">(10) </w:t>
      </w:r>
      <w:r>
        <w:tab/>
        <w:t xml:space="preserve">Responsiveness to evaluations of teaching by chair(s), peers, and/or </w:t>
      </w:r>
      <w:r w:rsidRPr="00337D12">
        <w:t>students including self-reflection on effectiveness and attempts to improve where necessary</w:t>
      </w:r>
    </w:p>
    <w:p w:rsidR="00387E2A" w:rsidRDefault="00387E2A" w:rsidP="00387E2A">
      <w:pPr>
        <w:pStyle w:val="Default"/>
      </w:pPr>
      <w:r>
        <w:tab/>
      </w:r>
      <w:r>
        <w:tab/>
        <w:t>(11)</w:t>
      </w:r>
      <w:r>
        <w:tab/>
      </w:r>
      <w:r w:rsidRPr="007814CB">
        <w:t xml:space="preserve">Development and/or execution of a </w:t>
      </w:r>
      <w:r w:rsidRPr="00012A66">
        <w:t>successful</w:t>
      </w:r>
      <w:r>
        <w:t xml:space="preserve"> </w:t>
      </w:r>
      <w:r w:rsidRPr="007814CB">
        <w:t>study abroad program</w:t>
      </w:r>
    </w:p>
    <w:p w:rsidR="00810FD5" w:rsidRDefault="00387E2A" w:rsidP="00810FD5">
      <w:pPr>
        <w:pStyle w:val="Default"/>
        <w:ind w:left="720" w:hanging="720"/>
      </w:pPr>
      <w:r>
        <w:lastRenderedPageBreak/>
        <w:tab/>
      </w:r>
      <w:r>
        <w:tab/>
        <w:t>(12)</w:t>
      </w:r>
      <w:r>
        <w:tab/>
        <w:t xml:space="preserve">Development of activities for students that support the department’s program and curriculum but are outside of a particular course’s syllabus </w:t>
      </w:r>
      <w:r w:rsidRPr="00337D12">
        <w:t>(for example, philosophy slams, reading groups with students and/or faculty)</w:t>
      </w:r>
      <w:r>
        <w:rPr>
          <w:u w:val="single"/>
        </w:rPr>
        <w:t xml:space="preserve"> </w:t>
      </w:r>
      <w:r>
        <w:tab/>
      </w:r>
    </w:p>
    <w:p w:rsidR="00387E2A" w:rsidRDefault="00387E2A" w:rsidP="00810FD5">
      <w:pPr>
        <w:pStyle w:val="Default"/>
        <w:ind w:left="720" w:firstLine="720"/>
      </w:pPr>
      <w:r>
        <w:t>(13)</w:t>
      </w:r>
      <w:r>
        <w:tab/>
        <w:t>Teaching award</w:t>
      </w:r>
      <w:r>
        <w:tab/>
      </w:r>
    </w:p>
    <w:p w:rsidR="00387E2A" w:rsidRDefault="00387E2A" w:rsidP="00387E2A">
      <w:pPr>
        <w:pStyle w:val="Default"/>
      </w:pPr>
      <w:r>
        <w:tab/>
      </w:r>
      <w:r>
        <w:tab/>
        <w:t xml:space="preserve">(14) </w:t>
      </w:r>
      <w:r>
        <w:tab/>
        <w:t>Directed Indepen</w:t>
      </w:r>
      <w:r w:rsidR="001206EE">
        <w:t xml:space="preserve">dent Studies/Honors Theses, </w:t>
      </w:r>
      <w:r w:rsidR="000A52FE">
        <w:t xml:space="preserve">Graduate Theses, </w:t>
      </w:r>
      <w:r w:rsidR="001206EE">
        <w:t>etc</w:t>
      </w:r>
      <w:r w:rsidR="000A52FE">
        <w:t>.</w:t>
      </w:r>
    </w:p>
    <w:p w:rsidR="00387E2A" w:rsidRPr="00992004" w:rsidRDefault="00387E2A" w:rsidP="00387E2A">
      <w:pPr>
        <w:pStyle w:val="Default"/>
        <w:rPr>
          <w:b/>
          <w:strike/>
        </w:rPr>
      </w:pPr>
      <w:r>
        <w:tab/>
      </w:r>
      <w:r>
        <w:tab/>
      </w:r>
    </w:p>
    <w:p w:rsidR="00387E2A" w:rsidRDefault="00387E2A" w:rsidP="003A2BE7">
      <w:r>
        <w:t>3)</w:t>
      </w:r>
      <w:r>
        <w:tab/>
      </w:r>
      <w:r w:rsidRPr="00E60994">
        <w:rPr>
          <w:b/>
        </w:rPr>
        <w:t>Scholarship</w:t>
      </w:r>
    </w:p>
    <w:p w:rsidR="00387E2A" w:rsidRDefault="000A4C99" w:rsidP="00387E2A">
      <w:pPr>
        <w:pStyle w:val="Default"/>
      </w:pPr>
      <w:r>
        <w:tab/>
      </w:r>
      <w:r>
        <w:tab/>
      </w:r>
    </w:p>
    <w:p w:rsidR="00387E2A" w:rsidRDefault="000A52FE" w:rsidP="00387E2A">
      <w:pPr>
        <w:pStyle w:val="Default"/>
      </w:pPr>
      <w:r>
        <w:tab/>
        <w:t>(a</w:t>
      </w:r>
      <w:r w:rsidR="00387E2A">
        <w:t>)</w:t>
      </w:r>
      <w:r w:rsidR="00387E2A">
        <w:tab/>
      </w:r>
      <w:r w:rsidR="00DB40FC">
        <w:t xml:space="preserve">Excellence in </w:t>
      </w:r>
      <w:r w:rsidR="002B2B31">
        <w:t xml:space="preserve">the breadth and depth of </w:t>
      </w:r>
      <w:r w:rsidR="00DB40FC">
        <w:t xml:space="preserve">scholarship will be </w:t>
      </w:r>
      <w:r w:rsidR="00E60994">
        <w:t>judged</w:t>
      </w:r>
      <w:r w:rsidR="00DB40FC">
        <w:t xml:space="preserve"> on the </w:t>
      </w:r>
      <w:r w:rsidR="00E60994">
        <w:t xml:space="preserve">basis of the </w:t>
      </w:r>
      <w:r w:rsidR="00DB40FC">
        <w:t xml:space="preserve">candidate’s </w:t>
      </w:r>
      <w:r w:rsidR="00E60994">
        <w:t>record</w:t>
      </w:r>
      <w:r w:rsidR="00B55E2B">
        <w:t xml:space="preserve">, </w:t>
      </w:r>
      <w:r w:rsidR="00DB40FC">
        <w:t>narrative and evi</w:t>
      </w:r>
      <w:r>
        <w:t>dence of quality suggested in (b) through (e</w:t>
      </w:r>
      <w:r w:rsidR="00DB40FC">
        <w:t>) below.</w:t>
      </w:r>
    </w:p>
    <w:p w:rsidR="00387E2A" w:rsidRDefault="00387E2A" w:rsidP="00387E2A">
      <w:pPr>
        <w:pStyle w:val="Default"/>
      </w:pPr>
    </w:p>
    <w:p w:rsidR="00387E2A" w:rsidRDefault="000A52FE" w:rsidP="00387E2A">
      <w:pPr>
        <w:pStyle w:val="Default"/>
      </w:pPr>
      <w:r>
        <w:tab/>
        <w:t>(b</w:t>
      </w:r>
      <w:r w:rsidR="00387E2A">
        <w:t>)</w:t>
      </w:r>
      <w:r w:rsidR="00387E2A">
        <w:tab/>
        <w:t>The list of publications and equivalencies below is a guideline for determining achievement of excellence in research</w:t>
      </w:r>
      <w:r w:rsidR="00DB40FC">
        <w:t xml:space="preserve">/scholarship/creative activity. </w:t>
      </w:r>
      <w:r w:rsidR="00387E2A">
        <w:t xml:space="preserve">It should be understood that merely having accomplishments within the qualifying </w:t>
      </w:r>
      <w:r w:rsidR="00DB40FC">
        <w:t>numerical</w:t>
      </w:r>
      <w:r w:rsidR="00387E2A">
        <w:t xml:space="preserve"> range</w:t>
      </w:r>
      <w:r w:rsidR="00DB40FC">
        <w:t xml:space="preserve">s </w:t>
      </w:r>
      <w:r w:rsidR="00387E2A">
        <w:t xml:space="preserve">without the required standard of </w:t>
      </w:r>
      <w:r w:rsidR="002B2B31">
        <w:t>quality</w:t>
      </w:r>
      <w:r w:rsidR="00387E2A">
        <w:t xml:space="preserve"> shall not guarantee that the faculty member will receive tenure. Conversely, a faculty member may qualify for tenure with accomplishments that fall below the qualifying general range but are of extraordinary quality</w:t>
      </w:r>
      <w:r w:rsidR="00DB40FC">
        <w:t>.</w:t>
      </w:r>
    </w:p>
    <w:p w:rsidR="00DB40FC" w:rsidRDefault="00DB40FC" w:rsidP="00387E2A">
      <w:pPr>
        <w:pStyle w:val="Default"/>
      </w:pPr>
    </w:p>
    <w:p w:rsidR="00387E2A" w:rsidRDefault="000A52FE" w:rsidP="00387E2A">
      <w:pPr>
        <w:pStyle w:val="Default"/>
      </w:pPr>
      <w:r>
        <w:tab/>
        <w:t>(c</w:t>
      </w:r>
      <w:r w:rsidR="00387E2A">
        <w:t>)</w:t>
      </w:r>
      <w:r w:rsidR="00387E2A">
        <w:tab/>
        <w:t xml:space="preserve">A candidate will normally qualify for tenure and promotion to Associate Professor in terms of </w:t>
      </w:r>
      <w:r w:rsidR="00387E2A" w:rsidRPr="002F1445">
        <w:t>research/scholarship/creative activity</w:t>
      </w:r>
      <w:r w:rsidR="00387E2A">
        <w:t xml:space="preserve"> with </w:t>
      </w:r>
      <w:r w:rsidR="00387E2A" w:rsidRPr="00CD0442">
        <w:t xml:space="preserve">a combination of </w:t>
      </w:r>
      <w:r w:rsidR="00387E2A">
        <w:t xml:space="preserve">scholarly </w:t>
      </w:r>
      <w:r w:rsidR="00387E2A" w:rsidRPr="00CD0442">
        <w:t>accomplishments</w:t>
      </w:r>
      <w:r w:rsidR="00387E2A">
        <w:t>.</w:t>
      </w:r>
      <w:r w:rsidR="00B55E2B">
        <w:t xml:space="preserve"> </w:t>
      </w:r>
      <w:r w:rsidR="00387E2A">
        <w:t xml:space="preserve">(1) through (4) below are examples of the level and quality of research indicative of </w:t>
      </w:r>
      <w:r w:rsidR="002B2B31">
        <w:t>satisfying the breadth and depth of scholarship</w:t>
      </w:r>
      <w:r w:rsidR="00387E2A">
        <w:t xml:space="preserve"> for tenure and promotion to Associate Professor but </w:t>
      </w:r>
      <w:r w:rsidR="002B2B31">
        <w:t>these examples do not</w:t>
      </w:r>
      <w:r w:rsidR="00387E2A">
        <w:t xml:space="preserve"> count as a rigid formula guaranteeing tenure or promotion.</w:t>
      </w:r>
    </w:p>
    <w:p w:rsidR="00DB40FC" w:rsidRDefault="00DB40FC" w:rsidP="00387E2A">
      <w:pPr>
        <w:pStyle w:val="Default"/>
      </w:pPr>
    </w:p>
    <w:p w:rsidR="00387E2A" w:rsidRDefault="00DB40FC" w:rsidP="00DB40FC">
      <w:pPr>
        <w:ind w:left="720" w:firstLine="720"/>
      </w:pPr>
      <w:r>
        <w:t>(1</w:t>
      </w:r>
      <w:r w:rsidR="00387E2A">
        <w:t>)</w:t>
      </w:r>
      <w:r w:rsidR="00387E2A">
        <w:tab/>
      </w:r>
      <w:r w:rsidR="00387E2A">
        <w:rPr>
          <w:b/>
        </w:rPr>
        <w:t>A</w:t>
      </w:r>
      <w:r w:rsidR="00387E2A" w:rsidRPr="001457A5">
        <w:rPr>
          <w:b/>
        </w:rPr>
        <w:t xml:space="preserve"> book</w:t>
      </w:r>
      <w:r w:rsidR="00387E2A">
        <w:t xml:space="preserve"> published with an academic or an otherwise academically-recognized press, “book” being defined as a solely authored volume of original research, a monograph, or a co-authored volume of original research </w:t>
      </w:r>
    </w:p>
    <w:p w:rsidR="00387E2A" w:rsidRDefault="00387E2A" w:rsidP="00387E2A">
      <w:r>
        <w:tab/>
      </w:r>
      <w:r>
        <w:tab/>
      </w:r>
      <w:r>
        <w:rPr>
          <w:b/>
        </w:rPr>
        <w:t xml:space="preserve">and </w:t>
      </w:r>
      <w:r>
        <w:t>an article in a recognized peer-reviewed academic journal or a book chapter,</w:t>
      </w:r>
      <w:r w:rsidRPr="00D24107">
        <w:rPr>
          <w:rStyle w:val="FootnoteReference"/>
        </w:rPr>
        <w:t xml:space="preserve"> </w:t>
      </w:r>
    </w:p>
    <w:p w:rsidR="00387E2A" w:rsidRDefault="00387E2A" w:rsidP="00387E2A">
      <w:r>
        <w:tab/>
      </w:r>
      <w:r>
        <w:tab/>
      </w:r>
      <w:r w:rsidRPr="001457A5">
        <w:rPr>
          <w:b/>
        </w:rPr>
        <w:t>and</w:t>
      </w:r>
      <w:r>
        <w:t xml:space="preserve"> </w:t>
      </w:r>
      <w:r>
        <w:rPr>
          <w:b/>
        </w:rPr>
        <w:t>two</w:t>
      </w:r>
      <w:r>
        <w:t xml:space="preserve"> to </w:t>
      </w:r>
      <w:r w:rsidRPr="001457A5">
        <w:rPr>
          <w:b/>
        </w:rPr>
        <w:t>four</w:t>
      </w:r>
      <w:r>
        <w:t xml:space="preserve"> conference papers/presentations at professional meetings; </w:t>
      </w:r>
    </w:p>
    <w:p w:rsidR="00387E2A" w:rsidRPr="00DA6A99" w:rsidRDefault="00387E2A" w:rsidP="00387E2A"/>
    <w:p w:rsidR="00387E2A" w:rsidRPr="00DA6A99" w:rsidRDefault="00387E2A" w:rsidP="00387E2A"/>
    <w:p w:rsidR="00DB40FC" w:rsidRDefault="00387E2A" w:rsidP="00DB40FC">
      <w:pPr>
        <w:ind w:left="720" w:hanging="720"/>
      </w:pPr>
      <w:r>
        <w:rPr>
          <w:b/>
        </w:rPr>
        <w:t>OR</w:t>
      </w:r>
      <w:r>
        <w:tab/>
      </w:r>
      <w:r>
        <w:tab/>
      </w:r>
    </w:p>
    <w:p w:rsidR="00387E2A" w:rsidRPr="000C7FC2" w:rsidRDefault="00387E2A" w:rsidP="00DB40FC">
      <w:pPr>
        <w:ind w:left="720" w:firstLine="720"/>
        <w:rPr>
          <w:b/>
        </w:rPr>
      </w:pPr>
      <w:r>
        <w:t>(2)</w:t>
      </w:r>
      <w:r>
        <w:tab/>
        <w:t>Withou</w:t>
      </w:r>
      <w:r w:rsidR="002B2B31">
        <w:t>t a book (as defined above in 1</w:t>
      </w:r>
      <w:r>
        <w:t xml:space="preserve">), </w:t>
      </w:r>
      <w:r>
        <w:rPr>
          <w:b/>
        </w:rPr>
        <w:t>four</w:t>
      </w:r>
      <w:r>
        <w:t xml:space="preserve"> to </w:t>
      </w:r>
      <w:r w:rsidRPr="005D4EF2">
        <w:rPr>
          <w:b/>
        </w:rPr>
        <w:t>six</w:t>
      </w:r>
      <w:r>
        <w:t xml:space="preserve"> of items a. through g. below (of which </w:t>
      </w:r>
      <w:r w:rsidRPr="009C2799">
        <w:rPr>
          <w:b/>
        </w:rPr>
        <w:t>two to four</w:t>
      </w:r>
      <w:r>
        <w:t xml:space="preserve"> should be articles in recognized</w:t>
      </w:r>
      <w:r w:rsidR="002B2B31">
        <w:t>,</w:t>
      </w:r>
      <w:r>
        <w:t xml:space="preserve"> peer-reviewed academic journals or book chapters) will normally qualify for tenure and promotion to Associate Professor in addition to the fact that the candidate should normally have</w:t>
      </w:r>
      <w:r w:rsidR="00B55E2B">
        <w:rPr>
          <w:b/>
        </w:rPr>
        <w:t xml:space="preserve"> t</w:t>
      </w:r>
      <w:r w:rsidRPr="001457A5">
        <w:rPr>
          <w:b/>
        </w:rPr>
        <w:t>wo</w:t>
      </w:r>
      <w:r>
        <w:t xml:space="preserve"> to </w:t>
      </w:r>
      <w:r w:rsidRPr="001457A5">
        <w:rPr>
          <w:b/>
        </w:rPr>
        <w:t>four</w:t>
      </w:r>
      <w:r>
        <w:t xml:space="preserve"> conference papers/presentations at professional meetings.</w:t>
      </w:r>
    </w:p>
    <w:p w:rsidR="00387E2A" w:rsidRDefault="00387E2A" w:rsidP="00387E2A">
      <w:r>
        <w:tab/>
      </w:r>
      <w:r>
        <w:tab/>
      </w:r>
      <w:r>
        <w:tab/>
        <w:t xml:space="preserve">a. an </w:t>
      </w:r>
      <w:r w:rsidRPr="00B16416">
        <w:t>article</w:t>
      </w:r>
      <w:r>
        <w:t xml:space="preserve"> in a peer-reviewed academic journal, </w:t>
      </w:r>
    </w:p>
    <w:p w:rsidR="00387E2A" w:rsidRDefault="00387E2A" w:rsidP="00387E2A">
      <w:r>
        <w:tab/>
      </w:r>
      <w:r>
        <w:tab/>
      </w:r>
      <w:r>
        <w:tab/>
        <w:t>b. an edited volume of essays (as sole or as co-editor),</w:t>
      </w:r>
    </w:p>
    <w:p w:rsidR="00387E2A" w:rsidRDefault="00387E2A" w:rsidP="00DB40FC">
      <w:pPr>
        <w:ind w:left="720"/>
      </w:pPr>
      <w:r>
        <w:tab/>
      </w:r>
      <w:r>
        <w:tab/>
        <w:t xml:space="preserve">c. a book chapter in an edited volume published by an academic or an </w:t>
      </w:r>
      <w:r w:rsidRPr="00CC7FCC">
        <w:t xml:space="preserve">otherwise </w:t>
      </w:r>
      <w:r>
        <w:t xml:space="preserve">academically-recognized press, </w:t>
      </w:r>
    </w:p>
    <w:p w:rsidR="00387E2A" w:rsidRDefault="00387E2A" w:rsidP="00387E2A">
      <w:r>
        <w:tab/>
      </w:r>
      <w:r>
        <w:tab/>
      </w:r>
      <w:r>
        <w:tab/>
        <w:t xml:space="preserve">d. an article in a conference proceedings journal, </w:t>
      </w:r>
    </w:p>
    <w:p w:rsidR="00387E2A" w:rsidRDefault="00387E2A" w:rsidP="00387E2A">
      <w:r>
        <w:tab/>
      </w:r>
      <w:r>
        <w:tab/>
      </w:r>
      <w:r>
        <w:tab/>
        <w:t xml:space="preserve">e. </w:t>
      </w:r>
      <w:r w:rsidRPr="00CC7FCC">
        <w:t>a lengthy review article/essay in a peer-reviewed academic journal</w:t>
      </w:r>
      <w:r>
        <w:t>,</w:t>
      </w:r>
    </w:p>
    <w:p w:rsidR="00387E2A" w:rsidRDefault="00387E2A" w:rsidP="00387E2A">
      <w:r>
        <w:tab/>
      </w:r>
      <w:r>
        <w:tab/>
      </w:r>
      <w:r>
        <w:tab/>
        <w:t xml:space="preserve">f. </w:t>
      </w:r>
      <w:r w:rsidRPr="00CC7FCC">
        <w:t>a lengthy encyclopedia article</w:t>
      </w:r>
      <w:r>
        <w:t xml:space="preserve">, </w:t>
      </w:r>
    </w:p>
    <w:p w:rsidR="00387E2A" w:rsidRDefault="00387E2A" w:rsidP="00DB40FC">
      <w:pPr>
        <w:ind w:left="720"/>
      </w:pPr>
      <w:r>
        <w:lastRenderedPageBreak/>
        <w:tab/>
      </w:r>
      <w:r>
        <w:tab/>
        <w:t xml:space="preserve">g. a major </w:t>
      </w:r>
      <w:r w:rsidRPr="00FF473B">
        <w:t xml:space="preserve">external </w:t>
      </w:r>
      <w:r>
        <w:t>grant, research grant, or fellowship (e.g., NEH fellowship, research Fulbright or similar).</w:t>
      </w:r>
    </w:p>
    <w:p w:rsidR="00387E2A" w:rsidRDefault="00387E2A" w:rsidP="00387E2A"/>
    <w:p w:rsidR="00387E2A" w:rsidRDefault="00387E2A" w:rsidP="00DB40FC">
      <w:pPr>
        <w:ind w:left="720" w:firstLine="720"/>
      </w:pPr>
      <w:r>
        <w:t>(3)</w:t>
      </w:r>
      <w:r>
        <w:tab/>
        <w:t>In all cases, the candidate’s dossier shall indicate clearly the candidate’s research agenda, both present and future.</w:t>
      </w:r>
    </w:p>
    <w:p w:rsidR="00387E2A" w:rsidRDefault="00387E2A" w:rsidP="00DB40FC">
      <w:pPr>
        <w:ind w:left="720" w:firstLine="720"/>
      </w:pPr>
      <w:r>
        <w:t>(4)</w:t>
      </w:r>
      <w:r>
        <w:tab/>
        <w:t>For purposes of tenure and promotion to Associate Professor, the accomplishments above may be counted if there is clear proof of future publication or grant disbursal, such as a formal letter of acceptance from the journal editor, publisher, or granting agency.</w:t>
      </w:r>
    </w:p>
    <w:p w:rsidR="00DB40FC" w:rsidRDefault="00DB40FC" w:rsidP="00DB40FC">
      <w:pPr>
        <w:ind w:left="720" w:firstLine="720"/>
      </w:pPr>
    </w:p>
    <w:p w:rsidR="00387E2A" w:rsidRDefault="000A52FE" w:rsidP="00387E2A">
      <w:r>
        <w:tab/>
        <w:t>(d</w:t>
      </w:r>
      <w:r w:rsidR="00387E2A">
        <w:t>)</w:t>
      </w:r>
      <w:r w:rsidR="00387E2A">
        <w:tab/>
        <w:t xml:space="preserve">It is understood that other accomplishments, such as short book reviews and encyclopedia articles, are legitimate scholarly activities and may indicate engagement in the profession. </w:t>
      </w:r>
      <w:r w:rsidR="00387E2A" w:rsidRPr="008D7435">
        <w:t>However</w:t>
      </w:r>
      <w:r w:rsidR="00387E2A" w:rsidRPr="000C7FC2">
        <w:rPr>
          <w:u w:val="single"/>
        </w:rPr>
        <w:t>,</w:t>
      </w:r>
      <w:r w:rsidR="00387E2A">
        <w:t xml:space="preserve"> they </w:t>
      </w:r>
      <w:r w:rsidR="000A4C99">
        <w:t xml:space="preserve">generally </w:t>
      </w:r>
      <w:r w:rsidR="00DB40FC">
        <w:t xml:space="preserve">will fail to substitute for </w:t>
      </w:r>
      <w:r w:rsidR="00387E2A">
        <w:t>lengthier and more substantial activities and</w:t>
      </w:r>
      <w:r w:rsidR="009A0D3B">
        <w:t xml:space="preserve"> publications as indicated in (c</w:t>
      </w:r>
      <w:r w:rsidR="00387E2A">
        <w:t>) above for the purposes of tenure and promotion to Associate Professor.</w:t>
      </w:r>
    </w:p>
    <w:p w:rsidR="00387E2A" w:rsidRDefault="00387E2A" w:rsidP="00387E2A"/>
    <w:p w:rsidR="006414DC" w:rsidRDefault="000A52FE" w:rsidP="00387E2A">
      <w:r>
        <w:tab/>
      </w:r>
    </w:p>
    <w:p w:rsidR="00387E2A" w:rsidRDefault="00E60994" w:rsidP="003A2BE7">
      <w:r>
        <w:t>4)</w:t>
      </w:r>
      <w:r>
        <w:tab/>
      </w:r>
      <w:r w:rsidRPr="00E60994">
        <w:rPr>
          <w:b/>
        </w:rPr>
        <w:t>Service</w:t>
      </w:r>
    </w:p>
    <w:p w:rsidR="00E60994" w:rsidRDefault="00E60994" w:rsidP="00387E2A"/>
    <w:p w:rsidR="00E60994" w:rsidRDefault="00B55E2B" w:rsidP="00E60994">
      <w:pPr>
        <w:pStyle w:val="ListParagraph"/>
        <w:numPr>
          <w:ilvl w:val="0"/>
          <w:numId w:val="3"/>
        </w:numPr>
        <w:ind w:left="1440" w:hanging="720"/>
      </w:pPr>
      <w:r>
        <w:t xml:space="preserve">Meaningful contributions in service will be </w:t>
      </w:r>
      <w:r w:rsidR="00E60994">
        <w:t>judged</w:t>
      </w:r>
      <w:r>
        <w:t xml:space="preserve"> on the candidate’s reco</w:t>
      </w:r>
      <w:r w:rsidR="00E60994">
        <w:t>rd,</w:t>
      </w:r>
    </w:p>
    <w:p w:rsidR="00387E2A" w:rsidRPr="0088241C" w:rsidRDefault="00B55E2B" w:rsidP="00E60994">
      <w:pPr>
        <w:ind w:left="720"/>
      </w:pPr>
      <w:r>
        <w:t xml:space="preserve">narrative and evidence of active participation and quality contributions </w:t>
      </w:r>
      <w:r w:rsidR="00E60994">
        <w:t>to the institution, profession, or wider community (related to one’s areas of expertise) across a range of items (1) through (12) below</w:t>
      </w:r>
      <w:r w:rsidR="001206EE">
        <w:t>. Generally, at least two service activities should be outside of the Department and for the College, University, Professional, or wider community</w:t>
      </w:r>
      <w:r w:rsidR="00387E2A" w:rsidRPr="0088241C">
        <w:t xml:space="preserve">: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Serves the university on active departmental, college, or university committees;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Serves the university through organizing and/or expediting colloquy, conferences, workshops, and symposia;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Chairs a college or university committee;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Serves the profession by reviewing manuscripts for professional journals;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Serves as a reviewer for a research manuscript for a national or international journal or publisher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Serves as a chair or moderator for a panel at a professional conferences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Serves as a reviewer for a proposal from a federal granting agency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Serves the profession by serving on committees or as an officer for a discipline-related professional organization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Serves the community by serving on committees or as an officer for a local, regional, or state professionally related organization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Serves the community by giving professionally related talks to local or regional groups or organizations or schools </w:t>
      </w:r>
    </w:p>
    <w:p w:rsidR="00387E2A" w:rsidRPr="002F1F1D" w:rsidRDefault="00387E2A" w:rsidP="00387E2A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2F1F1D">
        <w:rPr>
          <w:color w:val="000000" w:themeColor="text1"/>
        </w:rPr>
        <w:t xml:space="preserve">Serves as an invited consultant to or spokesperson for a state or national organization </w:t>
      </w:r>
    </w:p>
    <w:p w:rsidR="00C46036" w:rsidRDefault="00387E2A" w:rsidP="00D220F7">
      <w:pPr>
        <w:numPr>
          <w:ilvl w:val="0"/>
          <w:numId w:val="1"/>
        </w:numPr>
        <w:spacing w:before="100" w:beforeAutospacing="1" w:after="100" w:afterAutospacing="1"/>
      </w:pPr>
      <w:r w:rsidRPr="009A0D3B">
        <w:rPr>
          <w:color w:val="000000" w:themeColor="text1"/>
        </w:rPr>
        <w:t>Serves the community by writing articles for non-juried, non-scholarly publications in areas related to one's discipline.</w:t>
      </w:r>
    </w:p>
    <w:sectPr w:rsidR="00C46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3FE"/>
    <w:multiLevelType w:val="hybridMultilevel"/>
    <w:tmpl w:val="D862A0C2"/>
    <w:lvl w:ilvl="0" w:tplc="C004D6C4">
      <w:start w:val="1"/>
      <w:numFmt w:val="decimal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082C0E"/>
    <w:multiLevelType w:val="hybridMultilevel"/>
    <w:tmpl w:val="49E8964C"/>
    <w:lvl w:ilvl="0" w:tplc="9F64265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203A0"/>
    <w:multiLevelType w:val="hybridMultilevel"/>
    <w:tmpl w:val="8542A82A"/>
    <w:lvl w:ilvl="0" w:tplc="D1BA51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2A"/>
    <w:rsid w:val="000A4C99"/>
    <w:rsid w:val="000A52FE"/>
    <w:rsid w:val="001206EE"/>
    <w:rsid w:val="00197AF9"/>
    <w:rsid w:val="00205EB4"/>
    <w:rsid w:val="002B2B31"/>
    <w:rsid w:val="002F1F1D"/>
    <w:rsid w:val="00387E2A"/>
    <w:rsid w:val="003A2BE7"/>
    <w:rsid w:val="003A683B"/>
    <w:rsid w:val="006414DC"/>
    <w:rsid w:val="00810FD5"/>
    <w:rsid w:val="009A0D3B"/>
    <w:rsid w:val="00B55E2B"/>
    <w:rsid w:val="00BF52BA"/>
    <w:rsid w:val="00C46036"/>
    <w:rsid w:val="00CF7FD6"/>
    <w:rsid w:val="00D80400"/>
    <w:rsid w:val="00DB40FC"/>
    <w:rsid w:val="00E60994"/>
    <w:rsid w:val="00E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C7347-96AD-4109-ACC4-B19F7B04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semiHidden/>
    <w:rsid w:val="00387E2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Mitchell</dc:creator>
  <cp:lastModifiedBy>Jaffee, Marianne</cp:lastModifiedBy>
  <cp:revision>2</cp:revision>
  <cp:lastPrinted>2015-10-26T19:47:00Z</cp:lastPrinted>
  <dcterms:created xsi:type="dcterms:W3CDTF">2016-10-19T17:20:00Z</dcterms:created>
  <dcterms:modified xsi:type="dcterms:W3CDTF">2016-10-19T17:20:00Z</dcterms:modified>
</cp:coreProperties>
</file>